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50A71E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2</w:t>
      </w:r>
    </w:p>
    <w:p w14:paraId="7B12D98A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napToGrid/>
          <w:kern w:val="2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napToGrid/>
          <w:kern w:val="2"/>
          <w:sz w:val="44"/>
          <w:szCs w:val="44"/>
          <w:lang w:val="en-US" w:eastAsia="zh-CN"/>
        </w:rPr>
        <w:t>教师评价素养提升典型案例模版</w:t>
      </w:r>
      <w:bookmarkEnd w:id="0"/>
    </w:p>
    <w:p w14:paraId="02F1C7A1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楷体" w:hAnsi="楷体" w:eastAsia="楷体" w:cs="楷体"/>
          <w:snapToGrid/>
          <w:kern w:val="2"/>
          <w:sz w:val="28"/>
          <w:szCs w:val="28"/>
          <w:lang w:val="en-US" w:eastAsia="zh-CN"/>
        </w:rPr>
      </w:pPr>
    </w:p>
    <w:p w14:paraId="61AA4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  <w:t>题名</w:t>
      </w:r>
    </w:p>
    <w:p w14:paraId="62025E5E">
      <w:pPr>
        <w:spacing w:line="360" w:lineRule="auto"/>
        <w:rPr>
          <w:rFonts w:ascii="Arial"/>
          <w:sz w:val="21"/>
        </w:rPr>
      </w:pPr>
    </w:p>
    <w:p w14:paraId="6CBFB9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rPr>
          <w:rFonts w:hint="default" w:ascii="Times New Roman" w:hAnsi="Times New Roman" w:eastAsia="楷体" w:cs="Times New Roman"/>
          <w:sz w:val="28"/>
          <w:szCs w:val="28"/>
        </w:rPr>
      </w:pPr>
      <w:r>
        <w:rPr>
          <w:rFonts w:hint="default" w:ascii="Times New Roman" w:hAnsi="Times New Roman" w:eastAsia="楷体" w:cs="Times New Roman"/>
          <w:spacing w:val="-5"/>
          <w:sz w:val="28"/>
          <w:szCs w:val="28"/>
        </w:rPr>
        <w:t>单位：</w:t>
      </w:r>
    </w:p>
    <w:p w14:paraId="408615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outlineLvl w:val="0"/>
        <w:rPr>
          <w:rFonts w:hint="default" w:ascii="Times New Roman" w:hAnsi="Times New Roman" w:eastAsia="楷体" w:cs="Times New Roman"/>
          <w:sz w:val="28"/>
          <w:szCs w:val="28"/>
        </w:rPr>
      </w:pPr>
      <w:r>
        <w:rPr>
          <w:rFonts w:hint="default" w:ascii="Times New Roman" w:hAnsi="Times New Roman" w:eastAsia="楷体" w:cs="Times New Roman"/>
          <w:spacing w:val="-1"/>
          <w:sz w:val="28"/>
          <w:szCs w:val="28"/>
        </w:rPr>
        <w:t>作者：</w:t>
      </w:r>
    </w:p>
    <w:p w14:paraId="6338A5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方正仿宋_GBK" w:cs="Times New Roman"/>
          <w:sz w:val="21"/>
        </w:rPr>
      </w:pPr>
    </w:p>
    <w:p w14:paraId="2BCB990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360" w:lineRule="auto"/>
        <w:ind w:left="594"/>
        <w:textAlignment w:val="baseline"/>
        <w:outlineLvl w:val="0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pacing w:val="-3"/>
          <w:sz w:val="28"/>
          <w:szCs w:val="28"/>
        </w:rPr>
        <w:t>一、基本情况</w:t>
      </w:r>
    </w:p>
    <w:p w14:paraId="3260321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4" w:line="360" w:lineRule="auto"/>
        <w:ind w:left="22" w:firstLine="583"/>
        <w:textAlignment w:val="baseline"/>
        <w:outlineLvl w:val="0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spacing w:val="-3"/>
          <w:sz w:val="28"/>
          <w:szCs w:val="28"/>
        </w:rPr>
        <w:t>重点介绍本单位开展相关工作的整体情况，包括开展的背景、目</w:t>
      </w:r>
      <w:r>
        <w:rPr>
          <w:rFonts w:hint="default" w:ascii="Times New Roman" w:hAnsi="Times New Roman" w:cs="Times New Roman" w:eastAsiaTheme="minorEastAsia"/>
          <w:spacing w:val="-9"/>
          <w:sz w:val="28"/>
          <w:szCs w:val="28"/>
        </w:rPr>
        <w:t>的意义等。</w:t>
      </w:r>
    </w:p>
    <w:p w14:paraId="0636E4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360" w:lineRule="auto"/>
        <w:ind w:left="594"/>
        <w:textAlignment w:val="baseline"/>
        <w:outlineLvl w:val="0"/>
        <w:rPr>
          <w:rFonts w:hint="default" w:ascii="黑体" w:hAnsi="黑体" w:eastAsia="黑体" w:cs="黑体"/>
          <w:b w:val="0"/>
          <w:bCs w:val="0"/>
          <w:spacing w:val="-3"/>
          <w:sz w:val="28"/>
          <w:szCs w:val="28"/>
        </w:rPr>
      </w:pPr>
      <w:r>
        <w:rPr>
          <w:rFonts w:hint="default" w:ascii="黑体" w:hAnsi="黑体" w:eastAsia="黑体" w:cs="黑体"/>
          <w:b w:val="0"/>
          <w:bCs w:val="0"/>
          <w:spacing w:val="-3"/>
          <w:sz w:val="28"/>
          <w:szCs w:val="28"/>
        </w:rPr>
        <w:t>二、主要举措</w:t>
      </w:r>
    </w:p>
    <w:p w14:paraId="063B776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4" w:line="360" w:lineRule="auto"/>
        <w:ind w:left="22" w:firstLine="583"/>
        <w:textAlignment w:val="baseline"/>
        <w:outlineLvl w:val="0"/>
        <w:rPr>
          <w:rFonts w:hint="default" w:ascii="Times New Roman" w:hAnsi="Times New Roman" w:cs="Times New Roman" w:eastAsiaTheme="minorEastAsia"/>
          <w:spacing w:val="-3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spacing w:val="-3"/>
          <w:sz w:val="28"/>
          <w:szCs w:val="28"/>
        </w:rPr>
        <w:t>重点介绍相关工作的组织开展、方法手段等。</w:t>
      </w:r>
    </w:p>
    <w:p w14:paraId="7F8472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360" w:lineRule="auto"/>
        <w:ind w:left="594"/>
        <w:textAlignment w:val="baseline"/>
        <w:outlineLvl w:val="0"/>
        <w:rPr>
          <w:rFonts w:hint="default" w:ascii="黑体" w:hAnsi="黑体" w:eastAsia="黑体" w:cs="黑体"/>
          <w:b w:val="0"/>
          <w:bCs w:val="0"/>
          <w:spacing w:val="-3"/>
          <w:sz w:val="28"/>
          <w:szCs w:val="28"/>
        </w:rPr>
      </w:pPr>
      <w:r>
        <w:rPr>
          <w:rFonts w:hint="default" w:ascii="黑体" w:hAnsi="黑体" w:eastAsia="黑体" w:cs="黑体"/>
          <w:b w:val="0"/>
          <w:bCs w:val="0"/>
          <w:spacing w:val="-3"/>
          <w:sz w:val="28"/>
          <w:szCs w:val="28"/>
        </w:rPr>
        <w:t>三、主要成果及成效</w:t>
      </w:r>
    </w:p>
    <w:p w14:paraId="2062616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4" w:line="360" w:lineRule="auto"/>
        <w:ind w:left="22" w:firstLine="583"/>
        <w:textAlignment w:val="baseline"/>
        <w:outlineLvl w:val="0"/>
        <w:rPr>
          <w:rFonts w:hint="default" w:ascii="Times New Roman" w:hAnsi="Times New Roman" w:cs="Times New Roman" w:eastAsiaTheme="minorEastAsia"/>
          <w:spacing w:val="-3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spacing w:val="-3"/>
          <w:sz w:val="28"/>
          <w:szCs w:val="28"/>
        </w:rPr>
        <w:t>工作开展所取得认识性和操作性成果，以及主要成效。须突出教师队伍育人理念变化及评价素养提升方面的成效。</w:t>
      </w:r>
    </w:p>
    <w:p w14:paraId="60A149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360" w:lineRule="auto"/>
        <w:ind w:left="594"/>
        <w:textAlignment w:val="baseline"/>
        <w:outlineLvl w:val="0"/>
        <w:rPr>
          <w:rFonts w:hint="default" w:ascii="黑体" w:hAnsi="黑体" w:eastAsia="黑体" w:cs="黑体"/>
          <w:b w:val="0"/>
          <w:bCs w:val="0"/>
          <w:spacing w:val="-3"/>
          <w:sz w:val="28"/>
          <w:szCs w:val="28"/>
        </w:rPr>
      </w:pPr>
      <w:r>
        <w:rPr>
          <w:rFonts w:hint="default" w:ascii="黑体" w:hAnsi="黑体" w:eastAsia="黑体" w:cs="黑体"/>
          <w:b w:val="0"/>
          <w:bCs w:val="0"/>
          <w:spacing w:val="-3"/>
          <w:sz w:val="28"/>
          <w:szCs w:val="28"/>
        </w:rPr>
        <w:t>四、问题与反思</w:t>
      </w:r>
    </w:p>
    <w:p w14:paraId="5A3A90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4" w:line="360" w:lineRule="auto"/>
        <w:ind w:left="22" w:firstLine="583"/>
        <w:textAlignment w:val="baseline"/>
        <w:outlineLvl w:val="0"/>
        <w:rPr>
          <w:rFonts w:hint="default" w:ascii="Times New Roman" w:hAnsi="Times New Roman" w:cs="Times New Roman" w:eastAsiaTheme="minorEastAsia"/>
          <w:spacing w:val="-3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spacing w:val="-3"/>
          <w:sz w:val="28"/>
          <w:szCs w:val="28"/>
        </w:rPr>
        <w:t>对目前所开展工作进行反思，总结现有不足，并提出下一步工作计划。</w:t>
      </w:r>
    </w:p>
    <w:p w14:paraId="4246E1F1">
      <w:pPr>
        <w:pStyle w:val="2"/>
        <w:spacing w:before="230" w:line="322" w:lineRule="auto"/>
        <w:ind w:firstLine="598"/>
        <w:outlineLvl w:val="0"/>
        <w:rPr>
          <w:rFonts w:hint="default" w:ascii="Times New Roman" w:hAnsi="Times New Roman" w:eastAsia="方正仿宋_GBK" w:cs="Times New Roman"/>
          <w:spacing w:val="-8"/>
          <w:sz w:val="30"/>
          <w:szCs w:val="30"/>
        </w:rPr>
      </w:pPr>
    </w:p>
    <w:p w14:paraId="1C414814">
      <w:pPr>
        <w:pStyle w:val="2"/>
        <w:spacing w:before="230" w:line="322" w:lineRule="auto"/>
        <w:ind w:firstLine="598"/>
        <w:outlineLvl w:val="0"/>
        <w:rPr>
          <w:rFonts w:hint="default" w:ascii="Times New Roman" w:hAnsi="Times New Roman" w:eastAsia="方正仿宋_GBK" w:cs="Times New Roman"/>
          <w:spacing w:val="-8"/>
          <w:sz w:val="30"/>
          <w:szCs w:val="30"/>
        </w:rPr>
        <w:sectPr>
          <w:headerReference r:id="rId5" w:type="default"/>
          <w:pgSz w:w="11906" w:h="16839"/>
          <w:pgMar w:top="1440" w:right="1080" w:bottom="1440" w:left="1080" w:header="0" w:footer="0" w:gutter="0"/>
          <w:cols w:space="720" w:num="1"/>
        </w:sectPr>
      </w:pPr>
    </w:p>
    <w:p w14:paraId="4F30CE49">
      <w:pPr>
        <w:spacing w:line="301" w:lineRule="auto"/>
        <w:rPr>
          <w:rFonts w:hint="default" w:ascii="Times New Roman" w:hAnsi="Times New Roman" w:eastAsia="方正仿宋_GBK" w:cs="Times New Roman"/>
          <w:sz w:val="21"/>
        </w:rPr>
      </w:pPr>
    </w:p>
    <w:p w14:paraId="472EF05B">
      <w:pPr>
        <w:spacing w:line="301" w:lineRule="auto"/>
        <w:rPr>
          <w:rFonts w:hint="default" w:ascii="Times New Roman" w:hAnsi="Times New Roman" w:eastAsia="方正仿宋_GBK" w:cs="Times New Roman"/>
          <w:sz w:val="21"/>
        </w:rPr>
      </w:pPr>
    </w:p>
    <w:p w14:paraId="1BD23B6F">
      <w:pPr>
        <w:spacing w:line="301" w:lineRule="auto"/>
        <w:rPr>
          <w:rFonts w:hint="default" w:ascii="Times New Roman" w:hAnsi="Times New Roman" w:eastAsia="方正仿宋_GBK" w:cs="Times New Roman"/>
          <w:sz w:val="21"/>
        </w:rPr>
      </w:pPr>
    </w:p>
    <w:p w14:paraId="7D6E7E86">
      <w:pPr>
        <w:spacing w:before="100" w:line="224" w:lineRule="auto"/>
        <w:ind w:left="148"/>
        <w:rPr>
          <w:rFonts w:hint="default" w:ascii="Times New Roman" w:hAnsi="Times New Roman" w:eastAsia="方正仿宋_GBK" w:cs="Times New Roman"/>
          <w:sz w:val="31"/>
          <w:szCs w:val="31"/>
        </w:rPr>
      </w:pPr>
      <w:r>
        <w:rPr>
          <w:rFonts w:hint="default" w:ascii="Times New Roman" w:hAnsi="Times New Roman" w:eastAsia="方正仿宋_GBK" w:cs="Times New Roman"/>
          <w:b/>
          <w:bCs/>
          <w:spacing w:val="-9"/>
          <w:sz w:val="31"/>
          <w:szCs w:val="31"/>
        </w:rPr>
        <w:t>附件</w:t>
      </w:r>
      <w:r>
        <w:rPr>
          <w:rFonts w:hint="default" w:ascii="Times New Roman" w:hAnsi="Times New Roman" w:eastAsia="方正仿宋_GBK" w:cs="Times New Roman"/>
          <w:spacing w:val="-55"/>
          <w:sz w:val="31"/>
          <w:szCs w:val="31"/>
        </w:rPr>
        <w:t xml:space="preserve"> </w:t>
      </w:r>
      <w:r>
        <w:rPr>
          <w:rFonts w:hint="default" w:ascii="Times New Roman" w:hAnsi="Times New Roman" w:eastAsia="方正仿宋_GBK" w:cs="Times New Roman"/>
          <w:b/>
          <w:bCs/>
          <w:spacing w:val="-9"/>
          <w:sz w:val="31"/>
          <w:szCs w:val="31"/>
        </w:rPr>
        <w:t>3</w:t>
      </w:r>
    </w:p>
    <w:p w14:paraId="2AEB78E3">
      <w:pPr>
        <w:spacing w:before="256" w:line="468" w:lineRule="exact"/>
        <w:ind w:left="4563"/>
        <w:outlineLvl w:val="0"/>
        <w:rPr>
          <w:rFonts w:hint="default" w:ascii="Times New Roman" w:hAnsi="Times New Roman" w:eastAsia="方正仿宋_GBK" w:cs="Times New Roman"/>
          <w:sz w:val="35"/>
          <w:szCs w:val="35"/>
        </w:rPr>
      </w:pPr>
      <w:r>
        <w:rPr>
          <w:rFonts w:hint="default" w:ascii="Times New Roman" w:hAnsi="Times New Roman" w:eastAsia="方正仿宋_GBK" w:cs="Times New Roman"/>
          <w:spacing w:val="9"/>
          <w:position w:val="1"/>
          <w:sz w:val="35"/>
          <w:szCs w:val="35"/>
        </w:rPr>
        <w:t>教师评价素养提升典型案例</w:t>
      </w:r>
      <w:r>
        <w:rPr>
          <w:rFonts w:hint="default" w:ascii="Times New Roman" w:hAnsi="Times New Roman" w:eastAsia="方正仿宋_GBK" w:cs="Times New Roman"/>
          <w:spacing w:val="9"/>
          <w:position w:val="1"/>
          <w:sz w:val="35"/>
          <w:szCs w:val="35"/>
          <w:lang w:val="en-US" w:eastAsia="zh-CN"/>
        </w:rPr>
        <w:t>信息</w:t>
      </w:r>
      <w:r>
        <w:rPr>
          <w:rFonts w:hint="default" w:ascii="Times New Roman" w:hAnsi="Times New Roman" w:eastAsia="方正仿宋_GBK" w:cs="Times New Roman"/>
          <w:spacing w:val="9"/>
          <w:position w:val="1"/>
          <w:sz w:val="35"/>
          <w:szCs w:val="35"/>
        </w:rPr>
        <w:t>表</w:t>
      </w:r>
    </w:p>
    <w:p w14:paraId="26B4B8CE">
      <w:pPr>
        <w:spacing w:line="242" w:lineRule="auto"/>
        <w:rPr>
          <w:rFonts w:hint="default" w:ascii="Times New Roman" w:hAnsi="Times New Roman" w:eastAsia="方正仿宋_GBK" w:cs="Times New Roman"/>
          <w:sz w:val="21"/>
        </w:rPr>
      </w:pPr>
    </w:p>
    <w:p w14:paraId="70E48552">
      <w:pPr>
        <w:spacing w:line="242" w:lineRule="auto"/>
        <w:rPr>
          <w:rFonts w:hint="default" w:ascii="Times New Roman" w:hAnsi="Times New Roman" w:eastAsia="方正仿宋_GBK" w:cs="Times New Roman"/>
          <w:sz w:val="21"/>
        </w:rPr>
      </w:pPr>
    </w:p>
    <w:p w14:paraId="127D8C9B">
      <w:pPr>
        <w:spacing w:line="243" w:lineRule="auto"/>
        <w:rPr>
          <w:rFonts w:hint="default" w:ascii="Times New Roman" w:hAnsi="Times New Roman" w:eastAsia="方正仿宋_GBK" w:cs="Times New Roman"/>
          <w:sz w:val="21"/>
        </w:rPr>
      </w:pPr>
    </w:p>
    <w:p w14:paraId="3A2B0A8F">
      <w:pPr>
        <w:spacing w:before="129" w:line="192" w:lineRule="auto"/>
        <w:ind w:left="156"/>
        <w:rPr>
          <w:rFonts w:hint="default" w:ascii="Times New Roman" w:hAnsi="Times New Roman" w:eastAsia="方正仿宋_GBK" w:cs="Times New Roman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spacing w:val="-1"/>
          <w:sz w:val="30"/>
          <w:szCs w:val="30"/>
        </w:rPr>
        <w:t>学校（盖章）</w:t>
      </w:r>
      <w:r>
        <w:rPr>
          <w:rFonts w:hint="default" w:ascii="Times New Roman" w:hAnsi="Times New Roman" w:eastAsia="方正仿宋_GBK" w:cs="Times New Roman"/>
          <w:spacing w:val="-1"/>
          <w:sz w:val="30"/>
          <w:szCs w:val="30"/>
          <w:u w:val="single" w:color="auto"/>
        </w:rPr>
        <w:t xml:space="preserve">                        </w:t>
      </w:r>
      <w:r>
        <w:rPr>
          <w:rFonts w:hint="default" w:ascii="Times New Roman" w:hAnsi="Times New Roman" w:eastAsia="方正仿宋_GBK" w:cs="Times New Roman"/>
          <w:spacing w:val="-2"/>
          <w:sz w:val="30"/>
          <w:szCs w:val="30"/>
          <w:u w:val="single" w:color="auto"/>
        </w:rPr>
        <w:t xml:space="preserve">                                    </w:t>
      </w:r>
    </w:p>
    <w:p w14:paraId="675F953E">
      <w:pPr>
        <w:spacing w:line="29" w:lineRule="exact"/>
        <w:rPr>
          <w:rFonts w:hint="default" w:ascii="Times New Roman" w:hAnsi="Times New Roman" w:eastAsia="方正仿宋_GBK" w:cs="Times New Roman"/>
        </w:rPr>
      </w:pPr>
    </w:p>
    <w:tbl>
      <w:tblPr>
        <w:tblStyle w:val="5"/>
        <w:tblW w:w="1487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5"/>
        <w:gridCol w:w="2785"/>
        <w:gridCol w:w="1399"/>
        <w:gridCol w:w="1413"/>
        <w:gridCol w:w="4051"/>
        <w:gridCol w:w="1372"/>
        <w:gridCol w:w="1347"/>
        <w:gridCol w:w="1907"/>
      </w:tblGrid>
      <w:tr w14:paraId="312530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05" w:type="dxa"/>
            <w:vMerge w:val="restart"/>
            <w:tcBorders>
              <w:bottom w:val="nil"/>
            </w:tcBorders>
            <w:textDirection w:val="tbRlV"/>
            <w:vAlign w:val="top"/>
          </w:tcPr>
          <w:p w14:paraId="6D3F23E4">
            <w:pPr>
              <w:spacing w:before="160" w:line="201" w:lineRule="auto"/>
              <w:ind w:left="212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32"/>
                <w:sz w:val="28"/>
                <w:szCs w:val="28"/>
              </w:rPr>
              <w:t>序</w:t>
            </w:r>
            <w:r>
              <w:rPr>
                <w:rFonts w:hint="default" w:ascii="Times New Roman" w:hAnsi="Times New Roman" w:eastAsia="方正仿宋_GBK" w:cs="Times New Roman"/>
                <w:spacing w:val="-48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pacing w:val="32"/>
                <w:sz w:val="28"/>
                <w:szCs w:val="28"/>
              </w:rPr>
              <w:t>号</w:t>
            </w:r>
          </w:p>
        </w:tc>
        <w:tc>
          <w:tcPr>
            <w:tcW w:w="2785" w:type="dxa"/>
            <w:vMerge w:val="restart"/>
            <w:tcBorders>
              <w:bottom w:val="nil"/>
            </w:tcBorders>
            <w:vAlign w:val="top"/>
          </w:tcPr>
          <w:p w14:paraId="38D85257">
            <w:pPr>
              <w:pStyle w:val="6"/>
              <w:spacing w:line="324" w:lineRule="auto"/>
              <w:rPr>
                <w:rFonts w:hint="default" w:ascii="Times New Roman" w:hAnsi="Times New Roman" w:eastAsia="方正仿宋_GBK" w:cs="Times New Roman"/>
              </w:rPr>
            </w:pPr>
          </w:p>
          <w:p w14:paraId="00923EC2">
            <w:pPr>
              <w:spacing w:before="91"/>
              <w:ind w:left="848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-8"/>
                <w:sz w:val="28"/>
                <w:szCs w:val="28"/>
              </w:rPr>
              <w:t>单位名称</w:t>
            </w:r>
          </w:p>
        </w:tc>
        <w:tc>
          <w:tcPr>
            <w:tcW w:w="1399" w:type="dxa"/>
            <w:vMerge w:val="restart"/>
            <w:tcBorders>
              <w:bottom w:val="nil"/>
            </w:tcBorders>
            <w:vAlign w:val="top"/>
          </w:tcPr>
          <w:p w14:paraId="54AA9ABF">
            <w:pPr>
              <w:spacing w:before="213" w:line="268" w:lineRule="auto"/>
              <w:ind w:left="289" w:right="136" w:hanging="139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-7"/>
                <w:sz w:val="28"/>
                <w:szCs w:val="28"/>
              </w:rPr>
              <w:t>是否为实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pacing w:val="-8"/>
                <w:sz w:val="28"/>
                <w:szCs w:val="28"/>
              </w:rPr>
              <w:t>验学校</w:t>
            </w:r>
          </w:p>
        </w:tc>
        <w:tc>
          <w:tcPr>
            <w:tcW w:w="1413" w:type="dxa"/>
            <w:vMerge w:val="restart"/>
            <w:tcBorders>
              <w:bottom w:val="nil"/>
            </w:tcBorders>
            <w:vAlign w:val="top"/>
          </w:tcPr>
          <w:p w14:paraId="246B90DF">
            <w:pPr>
              <w:pStyle w:val="6"/>
              <w:spacing w:line="324" w:lineRule="auto"/>
              <w:rPr>
                <w:rFonts w:hint="default" w:ascii="Times New Roman" w:hAnsi="Times New Roman" w:eastAsia="方正仿宋_GBK" w:cs="Times New Roman"/>
              </w:rPr>
            </w:pPr>
          </w:p>
          <w:p w14:paraId="492BB06F">
            <w:pPr>
              <w:spacing w:before="91" w:line="242" w:lineRule="auto"/>
              <w:ind w:left="164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-8"/>
                <w:sz w:val="28"/>
                <w:szCs w:val="28"/>
              </w:rPr>
              <w:t>案例类别</w:t>
            </w:r>
          </w:p>
        </w:tc>
        <w:tc>
          <w:tcPr>
            <w:tcW w:w="4051" w:type="dxa"/>
            <w:vMerge w:val="restart"/>
            <w:tcBorders>
              <w:bottom w:val="nil"/>
            </w:tcBorders>
            <w:vAlign w:val="top"/>
          </w:tcPr>
          <w:p w14:paraId="3CCBDCA4">
            <w:pPr>
              <w:pStyle w:val="6"/>
              <w:spacing w:line="324" w:lineRule="auto"/>
              <w:rPr>
                <w:rFonts w:hint="default" w:ascii="Times New Roman" w:hAnsi="Times New Roman" w:eastAsia="方正仿宋_GBK" w:cs="Times New Roman"/>
              </w:rPr>
            </w:pPr>
          </w:p>
          <w:p w14:paraId="6350BE6F">
            <w:pPr>
              <w:spacing w:before="91"/>
              <w:ind w:left="1485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-8"/>
                <w:sz w:val="28"/>
                <w:szCs w:val="28"/>
              </w:rPr>
              <w:t>案例名称</w:t>
            </w:r>
          </w:p>
        </w:tc>
        <w:tc>
          <w:tcPr>
            <w:tcW w:w="1372" w:type="dxa"/>
            <w:vMerge w:val="restart"/>
            <w:tcBorders>
              <w:bottom w:val="nil"/>
            </w:tcBorders>
            <w:vAlign w:val="top"/>
          </w:tcPr>
          <w:p w14:paraId="212EB320">
            <w:pPr>
              <w:pStyle w:val="6"/>
              <w:spacing w:line="323" w:lineRule="auto"/>
              <w:rPr>
                <w:rFonts w:hint="default" w:ascii="Times New Roman" w:hAnsi="Times New Roman" w:eastAsia="方正仿宋_GBK" w:cs="Times New Roman"/>
              </w:rPr>
            </w:pPr>
          </w:p>
          <w:p w14:paraId="5857C372">
            <w:pPr>
              <w:spacing w:before="91"/>
              <w:ind w:left="146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-8"/>
                <w:sz w:val="28"/>
                <w:szCs w:val="28"/>
              </w:rPr>
              <w:t>案例作者</w:t>
            </w:r>
          </w:p>
        </w:tc>
        <w:tc>
          <w:tcPr>
            <w:tcW w:w="3254" w:type="dxa"/>
            <w:gridSpan w:val="2"/>
            <w:vAlign w:val="top"/>
          </w:tcPr>
          <w:p w14:paraId="2D0CBFD2">
            <w:pPr>
              <w:spacing w:before="128" w:line="370" w:lineRule="exact"/>
              <w:ind w:left="1214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-7"/>
                <w:position w:val="1"/>
                <w:sz w:val="28"/>
                <w:szCs w:val="28"/>
              </w:rPr>
              <w:t>联系人</w:t>
            </w:r>
          </w:p>
        </w:tc>
      </w:tr>
      <w:tr w14:paraId="1B3BAC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605" w:type="dxa"/>
            <w:vMerge w:val="continue"/>
            <w:tcBorders>
              <w:top w:val="nil"/>
            </w:tcBorders>
            <w:textDirection w:val="tbRlV"/>
            <w:vAlign w:val="top"/>
          </w:tcPr>
          <w:p w14:paraId="215D7115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785" w:type="dxa"/>
            <w:vMerge w:val="continue"/>
            <w:tcBorders>
              <w:top w:val="nil"/>
            </w:tcBorders>
            <w:vAlign w:val="top"/>
          </w:tcPr>
          <w:p w14:paraId="68FE57B3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99" w:type="dxa"/>
            <w:vMerge w:val="continue"/>
            <w:tcBorders>
              <w:top w:val="nil"/>
            </w:tcBorders>
            <w:vAlign w:val="top"/>
          </w:tcPr>
          <w:p w14:paraId="1833068D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413" w:type="dxa"/>
            <w:vMerge w:val="continue"/>
            <w:tcBorders>
              <w:top w:val="nil"/>
            </w:tcBorders>
            <w:vAlign w:val="top"/>
          </w:tcPr>
          <w:p w14:paraId="20BA4D0C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4051" w:type="dxa"/>
            <w:vMerge w:val="continue"/>
            <w:tcBorders>
              <w:top w:val="nil"/>
            </w:tcBorders>
            <w:vAlign w:val="top"/>
          </w:tcPr>
          <w:p w14:paraId="5D8A0258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72" w:type="dxa"/>
            <w:vMerge w:val="continue"/>
            <w:tcBorders>
              <w:top w:val="nil"/>
            </w:tcBorders>
            <w:vAlign w:val="top"/>
          </w:tcPr>
          <w:p w14:paraId="57C70ED3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47" w:type="dxa"/>
            <w:vAlign w:val="top"/>
          </w:tcPr>
          <w:p w14:paraId="767AED2D">
            <w:pPr>
              <w:spacing w:before="123" w:line="370" w:lineRule="exact"/>
              <w:ind w:left="410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-11"/>
                <w:position w:val="1"/>
                <w:sz w:val="28"/>
                <w:szCs w:val="28"/>
              </w:rPr>
              <w:t>姓名</w:t>
            </w:r>
          </w:p>
        </w:tc>
        <w:tc>
          <w:tcPr>
            <w:tcW w:w="1907" w:type="dxa"/>
            <w:vAlign w:val="top"/>
          </w:tcPr>
          <w:p w14:paraId="5F7D5764">
            <w:pPr>
              <w:spacing w:before="124" w:line="242" w:lineRule="auto"/>
              <w:ind w:left="718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pacing w:val="-27"/>
                <w:sz w:val="28"/>
                <w:szCs w:val="28"/>
              </w:rPr>
              <w:t>电话</w:t>
            </w:r>
          </w:p>
        </w:tc>
      </w:tr>
      <w:tr w14:paraId="3DCCB0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605" w:type="dxa"/>
            <w:vAlign w:val="top"/>
          </w:tcPr>
          <w:p w14:paraId="62926C85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785" w:type="dxa"/>
            <w:vAlign w:val="top"/>
          </w:tcPr>
          <w:p w14:paraId="5436060C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99" w:type="dxa"/>
            <w:vAlign w:val="top"/>
          </w:tcPr>
          <w:p w14:paraId="5D038B11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413" w:type="dxa"/>
            <w:vAlign w:val="top"/>
          </w:tcPr>
          <w:p w14:paraId="75611528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4051" w:type="dxa"/>
            <w:vAlign w:val="top"/>
          </w:tcPr>
          <w:p w14:paraId="4723F195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72" w:type="dxa"/>
            <w:vAlign w:val="top"/>
          </w:tcPr>
          <w:p w14:paraId="3F27B79E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47" w:type="dxa"/>
            <w:vAlign w:val="top"/>
          </w:tcPr>
          <w:p w14:paraId="2E497916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907" w:type="dxa"/>
            <w:vAlign w:val="top"/>
          </w:tcPr>
          <w:p w14:paraId="73C0440A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</w:tr>
      <w:tr w14:paraId="56AFFE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05" w:type="dxa"/>
            <w:vAlign w:val="top"/>
          </w:tcPr>
          <w:p w14:paraId="3CD6402E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785" w:type="dxa"/>
            <w:vAlign w:val="top"/>
          </w:tcPr>
          <w:p w14:paraId="1D2F2412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99" w:type="dxa"/>
            <w:vAlign w:val="top"/>
          </w:tcPr>
          <w:p w14:paraId="559AF2AD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413" w:type="dxa"/>
            <w:vAlign w:val="top"/>
          </w:tcPr>
          <w:p w14:paraId="76F00391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4051" w:type="dxa"/>
            <w:vAlign w:val="top"/>
          </w:tcPr>
          <w:p w14:paraId="0D2E335E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72" w:type="dxa"/>
            <w:vAlign w:val="top"/>
          </w:tcPr>
          <w:p w14:paraId="575A5505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47" w:type="dxa"/>
            <w:vAlign w:val="top"/>
          </w:tcPr>
          <w:p w14:paraId="0CF33AE4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907" w:type="dxa"/>
            <w:vAlign w:val="top"/>
          </w:tcPr>
          <w:p w14:paraId="5E631F98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</w:tr>
      <w:tr w14:paraId="11E123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605" w:type="dxa"/>
            <w:vAlign w:val="top"/>
          </w:tcPr>
          <w:p w14:paraId="538D4752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785" w:type="dxa"/>
            <w:vAlign w:val="top"/>
          </w:tcPr>
          <w:p w14:paraId="0A5E7784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99" w:type="dxa"/>
            <w:vAlign w:val="top"/>
          </w:tcPr>
          <w:p w14:paraId="0D2C7184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413" w:type="dxa"/>
            <w:vAlign w:val="top"/>
          </w:tcPr>
          <w:p w14:paraId="2CC3C0DC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4051" w:type="dxa"/>
            <w:vAlign w:val="top"/>
          </w:tcPr>
          <w:p w14:paraId="2DC96071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72" w:type="dxa"/>
            <w:vAlign w:val="top"/>
          </w:tcPr>
          <w:p w14:paraId="461A7D5C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47" w:type="dxa"/>
            <w:vAlign w:val="top"/>
          </w:tcPr>
          <w:p w14:paraId="73CDE2FD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907" w:type="dxa"/>
            <w:vAlign w:val="top"/>
          </w:tcPr>
          <w:p w14:paraId="0C1576CC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</w:tr>
      <w:tr w14:paraId="6D9017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605" w:type="dxa"/>
            <w:vAlign w:val="top"/>
          </w:tcPr>
          <w:p w14:paraId="3106F4E4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785" w:type="dxa"/>
            <w:vAlign w:val="top"/>
          </w:tcPr>
          <w:p w14:paraId="1699AFFE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99" w:type="dxa"/>
            <w:vAlign w:val="top"/>
          </w:tcPr>
          <w:p w14:paraId="7B953610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413" w:type="dxa"/>
            <w:vAlign w:val="top"/>
          </w:tcPr>
          <w:p w14:paraId="1AE209B5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4051" w:type="dxa"/>
            <w:vAlign w:val="top"/>
          </w:tcPr>
          <w:p w14:paraId="1BE8CB29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72" w:type="dxa"/>
            <w:vAlign w:val="top"/>
          </w:tcPr>
          <w:p w14:paraId="0E27D0FB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47" w:type="dxa"/>
            <w:vAlign w:val="top"/>
          </w:tcPr>
          <w:p w14:paraId="41439CEF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907" w:type="dxa"/>
            <w:vAlign w:val="top"/>
          </w:tcPr>
          <w:p w14:paraId="1243051F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</w:tr>
      <w:tr w14:paraId="30E3AC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05" w:type="dxa"/>
            <w:vAlign w:val="top"/>
          </w:tcPr>
          <w:p w14:paraId="2EDF07AE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785" w:type="dxa"/>
            <w:vAlign w:val="top"/>
          </w:tcPr>
          <w:p w14:paraId="39BADE72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99" w:type="dxa"/>
            <w:vAlign w:val="top"/>
          </w:tcPr>
          <w:p w14:paraId="30614CBF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413" w:type="dxa"/>
            <w:vAlign w:val="top"/>
          </w:tcPr>
          <w:p w14:paraId="3F0C2FB4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4051" w:type="dxa"/>
            <w:vAlign w:val="top"/>
          </w:tcPr>
          <w:p w14:paraId="3C83AE3B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72" w:type="dxa"/>
            <w:vAlign w:val="top"/>
          </w:tcPr>
          <w:p w14:paraId="338F82C4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47" w:type="dxa"/>
            <w:vAlign w:val="top"/>
          </w:tcPr>
          <w:p w14:paraId="7B93C9E4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907" w:type="dxa"/>
            <w:vAlign w:val="top"/>
          </w:tcPr>
          <w:p w14:paraId="6ED0517E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</w:tr>
      <w:tr w14:paraId="6813C4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05" w:type="dxa"/>
            <w:vAlign w:val="top"/>
          </w:tcPr>
          <w:p w14:paraId="74D4D0B6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785" w:type="dxa"/>
            <w:vAlign w:val="top"/>
          </w:tcPr>
          <w:p w14:paraId="6CA07F36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99" w:type="dxa"/>
            <w:vAlign w:val="top"/>
          </w:tcPr>
          <w:p w14:paraId="67B5F51A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413" w:type="dxa"/>
            <w:vAlign w:val="top"/>
          </w:tcPr>
          <w:p w14:paraId="1A7A757B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4051" w:type="dxa"/>
            <w:vAlign w:val="top"/>
          </w:tcPr>
          <w:p w14:paraId="7BD01739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72" w:type="dxa"/>
            <w:vAlign w:val="top"/>
          </w:tcPr>
          <w:p w14:paraId="5C3CFD0A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47" w:type="dxa"/>
            <w:vAlign w:val="top"/>
          </w:tcPr>
          <w:p w14:paraId="6DAE5A4D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907" w:type="dxa"/>
            <w:vAlign w:val="top"/>
          </w:tcPr>
          <w:p w14:paraId="72EE2C5A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</w:tr>
      <w:tr w14:paraId="73D80E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05" w:type="dxa"/>
            <w:vAlign w:val="top"/>
          </w:tcPr>
          <w:p w14:paraId="33F01D93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785" w:type="dxa"/>
            <w:vAlign w:val="top"/>
          </w:tcPr>
          <w:p w14:paraId="58A89CC7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99" w:type="dxa"/>
            <w:vAlign w:val="top"/>
          </w:tcPr>
          <w:p w14:paraId="4597BAAB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413" w:type="dxa"/>
            <w:vAlign w:val="top"/>
          </w:tcPr>
          <w:p w14:paraId="0E468081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4051" w:type="dxa"/>
            <w:vAlign w:val="top"/>
          </w:tcPr>
          <w:p w14:paraId="7A05A36C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72" w:type="dxa"/>
            <w:vAlign w:val="top"/>
          </w:tcPr>
          <w:p w14:paraId="5D33B69B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47" w:type="dxa"/>
            <w:vAlign w:val="top"/>
          </w:tcPr>
          <w:p w14:paraId="6D43E32E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907" w:type="dxa"/>
            <w:vAlign w:val="top"/>
          </w:tcPr>
          <w:p w14:paraId="209E16B5">
            <w:pPr>
              <w:pStyle w:val="6"/>
              <w:rPr>
                <w:rFonts w:hint="default" w:ascii="Times New Roman" w:hAnsi="Times New Roman" w:eastAsia="方正仿宋_GBK" w:cs="Times New Roman"/>
              </w:rPr>
            </w:pPr>
          </w:p>
        </w:tc>
      </w:tr>
    </w:tbl>
    <w:p w14:paraId="416AA35D">
      <w:pPr>
        <w:spacing w:before="166" w:line="229" w:lineRule="auto"/>
        <w:ind w:left="114"/>
        <w:rPr>
          <w:rFonts w:hint="default" w:ascii="Times New Roman" w:hAnsi="Times New Roman" w:eastAsia="方正仿宋_GBK" w:cs="Times New Roman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b/>
          <w:bCs/>
          <w:spacing w:val="-1"/>
          <w:sz w:val="24"/>
          <w:szCs w:val="24"/>
        </w:rPr>
        <w:t>注</w:t>
      </w:r>
      <w:r>
        <w:rPr>
          <w:rFonts w:hint="default" w:ascii="Times New Roman" w:hAnsi="Times New Roman" w:eastAsia="方正仿宋_GBK" w:cs="Times New Roman"/>
          <w:b/>
          <w:bCs/>
          <w:spacing w:val="-33"/>
          <w:sz w:val="24"/>
          <w:szCs w:val="24"/>
        </w:rPr>
        <w:t xml:space="preserve"> </w:t>
      </w:r>
      <w:r>
        <w:rPr>
          <w:rFonts w:hint="default" w:ascii="Times New Roman" w:hAnsi="Times New Roman" w:eastAsia="方正仿宋_GBK" w:cs="Times New Roman"/>
          <w:b/>
          <w:bCs/>
          <w:spacing w:val="-1"/>
          <w:sz w:val="24"/>
          <w:szCs w:val="24"/>
        </w:rPr>
        <w:t>：案例类别分为“教师述评”“课堂教学评价”“命题与作业设计”“学生综合素质评价</w:t>
      </w:r>
      <w:r>
        <w:rPr>
          <w:rFonts w:hint="default" w:ascii="Times New Roman" w:hAnsi="Times New Roman" w:eastAsia="方正仿宋_GBK" w:cs="Times New Roman"/>
          <w:b/>
          <w:bCs/>
          <w:spacing w:val="-2"/>
          <w:sz w:val="24"/>
          <w:szCs w:val="24"/>
        </w:rPr>
        <w:t>”4 类</w:t>
      </w:r>
    </w:p>
    <w:sectPr>
      <w:pgSz w:w="16839" w:h="11906"/>
      <w:pgMar w:top="400" w:right="932" w:bottom="0" w:left="102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523B825-B832-4693-AB3F-B90B0669670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A68322B-B493-4470-904B-EFDF3FF76A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B29A513B-88E8-453D-B763-F046DB3C7C6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F155531F-A8A6-4D9B-9C19-5D406CEA1C9C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5681EC1C-17F9-4E1C-BC86-012B55B0645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74310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8A00C1B"/>
    <w:rsid w:val="596540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286</Words>
  <Characters>286</Characters>
  <TotalTime>4</TotalTime>
  <ScaleCrop>false</ScaleCrop>
  <LinksUpToDate>false</LinksUpToDate>
  <CharactersWithSpaces>351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2025-06-10T16:14:00Z</dcterms:created>
  <dc:creator>WZ</dc:creator>
  <cp:lastModifiedBy>张浩</cp:lastModifiedBy>
  <dcterms:modified xsi:type="dcterms:W3CDTF">2025-06-12T02:53:23Z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2025-06-12T10:12:23Z</vt:filetime>
  </property>
  <property fmtid="{D5CDD505-2E9C-101B-9397-08002B2CF9AE}" pid="4" name="KSOTemplateDocerSaveRecord">
    <vt:lpwstr>eyJoZGlkIjoiZGY5YzZlZGI3NTRhZDFlOGI5MjIxYzVmMmNlNGE4YWEiLCJ1c2VySWQiOiIyMzI5NjA0NSJ9</vt:lpwstr>
  </property>
  <property fmtid="{D5CDD505-2E9C-101B-9397-08002B2CF9AE}" pid="5" name="KSOProductBuildVer">
    <vt:lpwstr>2052-12.1.0.21541</vt:lpwstr>
  </property>
  <property fmtid="{D5CDD505-2E9C-101B-9397-08002B2CF9AE}" pid="6" name="ICV">
    <vt:lpwstr>83B9159A1DFE45489C8750E9C20AE98A_12</vt:lpwstr>
  </property>
</Properties>
</file>